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7D3B5F" w:rsidRPr="006E5A43" w14:paraId="05EDF8A1" w14:textId="77777777" w:rsidTr="00CC2247">
        <w:trPr>
          <w:trHeight w:val="526"/>
        </w:trPr>
        <w:tc>
          <w:tcPr>
            <w:tcW w:w="12759" w:type="dxa"/>
            <w:gridSpan w:val="2"/>
            <w:shd w:val="clear" w:color="auto" w:fill="DEEAF6" w:themeFill="accent1" w:themeFillTint="33"/>
            <w:vAlign w:val="center"/>
          </w:tcPr>
          <w:p w14:paraId="5111A9C4" w14:textId="77777777" w:rsidR="007D3B5F" w:rsidRPr="006E5A43" w:rsidRDefault="007D3B5F" w:rsidP="007D3B5F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  <w:vAlign w:val="center"/>
          </w:tcPr>
          <w:p w14:paraId="2DAAA0F7" w14:textId="77777777" w:rsidR="007D3B5F" w:rsidRPr="00CC2247" w:rsidRDefault="007D3B5F" w:rsidP="00CC2247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ТЕТЕВЕН</w:t>
            </w:r>
          </w:p>
        </w:tc>
      </w:tr>
      <w:tr w:rsidR="007D3B5F" w:rsidRPr="006E5A43" w14:paraId="61C5AD58" w14:textId="77777777" w:rsidTr="007D3B5F">
        <w:tc>
          <w:tcPr>
            <w:tcW w:w="8931" w:type="dxa"/>
            <w:shd w:val="clear" w:color="auto" w:fill="FFFFFF" w:themeFill="background1"/>
            <w:vAlign w:val="center"/>
          </w:tcPr>
          <w:p w14:paraId="1567E440" w14:textId="77777777" w:rsidR="007D3B5F" w:rsidRPr="006E5A43" w:rsidRDefault="007D3B5F" w:rsidP="007D3B5F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DAC21B9" w14:textId="77777777" w:rsidR="007D3B5F" w:rsidRPr="006E5A43" w:rsidRDefault="007D3B5F" w:rsidP="007D3B5F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F969211" w14:textId="77777777" w:rsidR="007D3B5F" w:rsidRPr="006E5A43" w:rsidRDefault="007D3B5F" w:rsidP="007D3B5F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E6E8A8A" w14:textId="1E029108" w:rsidR="007D3B5F" w:rsidRPr="006E5A43" w:rsidRDefault="001D2773" w:rsidP="007D3B5F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7D3B5F" w:rsidRPr="006E5A43" w14:paraId="18AB7376" w14:textId="77777777" w:rsidTr="007D3B5F">
        <w:tc>
          <w:tcPr>
            <w:tcW w:w="15316" w:type="dxa"/>
            <w:gridSpan w:val="3"/>
            <w:shd w:val="clear" w:color="auto" w:fill="FBE4D5" w:themeFill="accent2" w:themeFillTint="33"/>
            <w:vAlign w:val="center"/>
          </w:tcPr>
          <w:p w14:paraId="7797E14E" w14:textId="77777777" w:rsidR="007D3B5F" w:rsidRPr="006E5A43" w:rsidRDefault="007D3B5F" w:rsidP="007D3B5F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7D3B5F" w:rsidRPr="006E5A43" w14:paraId="40514E4D" w14:textId="77777777" w:rsidTr="007D3B5F">
        <w:tc>
          <w:tcPr>
            <w:tcW w:w="8931" w:type="dxa"/>
            <w:shd w:val="clear" w:color="auto" w:fill="FFFFFF" w:themeFill="background1"/>
            <w:vAlign w:val="center"/>
          </w:tcPr>
          <w:p w14:paraId="04792EBE" w14:textId="77777777" w:rsidR="007D3B5F" w:rsidRPr="006E5A43" w:rsidRDefault="007D3B5F" w:rsidP="007D3B5F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3802DD54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структуриран и целенасочен подход към дългосрочното планиране, който е в съответствие с принципите за устойчиво развитие и е стратегически ориентиран към бъдещето на местната общност.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потвърждават от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0F1C318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Основен стратегически документ е Планът за интегрирано развитие на община Тетевен (ПИРО) 2021–2027 г.</w:t>
            </w:r>
          </w:p>
          <w:p w14:paraId="35D658E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Документът съдържа визия, цели, приоритети и мерки, насочени към социално, икономическо и инфраструктурно развитие, в отговор на потребностите на различните групи от населението.</w:t>
            </w:r>
          </w:p>
          <w:p w14:paraId="7B1E0A1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На територията на общината действа Одобрен Общ устройствен план (ОУП), който гарантира териториално устойчиво развитие и координац</w:t>
            </w:r>
            <w:r>
              <w:rPr>
                <w:rFonts w:ascii="Times New Roman" w:eastAsia="Calibri" w:hAnsi="Times New Roman" w:cs="Times New Roman"/>
                <w:lang w:val="bg-BG"/>
              </w:rPr>
              <w:t>ия с инвестиционните намерения.</w:t>
            </w:r>
          </w:p>
          <w:p w14:paraId="4A76ACBD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е разработила допълнителни дългосрочни стратегии и секторни политики, които допълват общата рамка за устойчиво развитие, включително в сфери като околна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среда, образование, енергийна ефективност и култура. Това показва интегриран подход в стратегическото планиране.</w:t>
            </w:r>
          </w:p>
          <w:p w14:paraId="45CD9D1C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Осигурена е бюджетна и инвестиционна съгласуваност чрез актуални бюджетни прогнози, включително:</w:t>
            </w:r>
          </w:p>
          <w:p w14:paraId="7C111BD3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Прогноза за 2024–2027 г.</w:t>
            </w:r>
          </w:p>
          <w:p w14:paraId="376579FE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Инвестиционна програма за 2024 г.</w:t>
            </w:r>
          </w:p>
          <w:p w14:paraId="4B05E75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Приложения към бюджета с данни за обекти, финансирани по различни направления.</w:t>
            </w:r>
          </w:p>
          <w:p w14:paraId="3C895EF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Включването на механизми за оценка, последващ контрол и обществено участие допълнително укрепва устойчивостта на този модел на управление.</w:t>
            </w:r>
          </w:p>
          <w:p w14:paraId="7D0DA39D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F4AB579" w14:textId="77777777" w:rsidR="007D3B5F" w:rsidRPr="008573D0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Всички тези елементи формират цялостен, координиран и прозрачен процес по планиране на дългосрочно развитие, съответстващ на принципите за добро демократично управление.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4020AB1D" w14:textId="0E33F727" w:rsidR="007D3B5F" w:rsidRPr="001D2773" w:rsidRDefault="001D2773" w:rsidP="001D277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2A048B6F" w14:textId="77777777" w:rsidTr="007D3B5F">
        <w:tc>
          <w:tcPr>
            <w:tcW w:w="8931" w:type="dxa"/>
            <w:shd w:val="clear" w:color="auto" w:fill="FFFFFF" w:themeFill="background1"/>
            <w:vAlign w:val="center"/>
          </w:tcPr>
          <w:p w14:paraId="0A35C6DA" w14:textId="77777777" w:rsidR="007D3B5F" w:rsidRPr="006E5A43" w:rsidRDefault="007D3B5F" w:rsidP="007D3B5F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4C1A5BB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демонстрира устойчива визия за развитие, в която нуждите на бъдещите поколения са системно вземани предвид в процеса на планиране.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 потвърждава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, че дългосрочните политики и стратегии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са ориентирани не само към текущите, но и към бъдещите потребности на общността.</w:t>
            </w:r>
          </w:p>
          <w:p w14:paraId="2A3DFA2A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Основополагащият План за интегрирано развитие на общината (ПИРО) 2021–2027 г. включва приоритети, които пряко адресират устойчивото развитие в интерес на бъдещите поколения, като:</w:t>
            </w:r>
          </w:p>
          <w:p w14:paraId="26B2DFF2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развитие на образованието и културата</w:t>
            </w:r>
          </w:p>
          <w:p w14:paraId="374613B7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екологична устойчивост</w:t>
            </w:r>
          </w:p>
          <w:p w14:paraId="166F344A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дигитализация и иновации</w:t>
            </w:r>
          </w:p>
          <w:p w14:paraId="4335C86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насърчаване на младите хора и задържането им в региона</w:t>
            </w:r>
          </w:p>
          <w:p w14:paraId="01572418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ПИРО и в другите стратегически документи на общината се съдържат прогнозни индикатори за въздействие и резултат, които позволяват да се проследят дългосрочните ефекти от прилаганите политики.</w:t>
            </w:r>
          </w:p>
          <w:p w14:paraId="07105110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Общината активно работи по теми, които засягат бъдещето – включително:</w:t>
            </w:r>
          </w:p>
          <w:p w14:paraId="180289F7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енергийна ефективност и възобновяеми източници</w:t>
            </w:r>
          </w:p>
          <w:p w14:paraId="34737BB8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устойчиво управление на отпадъците</w:t>
            </w:r>
          </w:p>
          <w:p w14:paraId="4D5E1FC4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модернизация на образователната инфраструктура</w:t>
            </w:r>
          </w:p>
          <w:p w14:paraId="2EF58333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– дигитални услуги и електронно управление</w:t>
            </w:r>
          </w:p>
          <w:p w14:paraId="1BB7075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Налице са и механизми за младежко включване, включително чрез обществени обсъждания, проекти с училищата, ученически съвети и програми за културно и социално развитие на младите хора.</w:t>
            </w:r>
          </w:p>
          <w:p w14:paraId="57A20101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общинската бюджетна и инвестиционна политика се залагат проекти, чиято стойност и полза ще се реализират в бъдеще, като се използва анализ на риска и ефективността от гледна точка на дългосрочното въздействие.</w:t>
            </w:r>
          </w:p>
          <w:p w14:paraId="7D0D601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52D8086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Тези елементи показват, че община Тетевен не просто отчита нуждите на бъдещето, а изгражда устойчив капацитет за тяхното планиране и реализиране, като комбинира стратегическо мислене, участие на общността и прилагане на добри управленски практики.</w:t>
            </w:r>
          </w:p>
          <w:p w14:paraId="3DA84083" w14:textId="77777777" w:rsidR="007D3B5F" w:rsidRPr="008573D0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7ABFC564" w14:textId="771D4EAD" w:rsidR="007D3B5F" w:rsidRPr="006E5A43" w:rsidRDefault="001D2773" w:rsidP="001D277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60AC5F96" w14:textId="77777777" w:rsidTr="007D3B5F">
        <w:tc>
          <w:tcPr>
            <w:tcW w:w="15316" w:type="dxa"/>
            <w:gridSpan w:val="3"/>
            <w:shd w:val="clear" w:color="auto" w:fill="FBE4D5" w:themeFill="accent2" w:themeFillTint="33"/>
            <w:vAlign w:val="center"/>
          </w:tcPr>
          <w:p w14:paraId="0B65EFC7" w14:textId="77777777" w:rsidR="007D3B5F" w:rsidRPr="006E5A43" w:rsidRDefault="007D3B5F" w:rsidP="007D3B5F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7D3B5F" w:rsidRPr="006E5A43" w14:paraId="3A7FE269" w14:textId="77777777" w:rsidTr="007D3B5F">
        <w:tc>
          <w:tcPr>
            <w:tcW w:w="8931" w:type="dxa"/>
            <w:shd w:val="clear" w:color="auto" w:fill="FFFFFF" w:themeFill="background1"/>
            <w:vAlign w:val="center"/>
          </w:tcPr>
          <w:p w14:paraId="4FDBE378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41B2549A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О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бщина Тетевен е налице ясен, последователен и институционализиран ангажимент от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страна на Общинския съвет и кмета/ръководния екип към устойчивото развитие, което е интегрирано във всички ключови елементи на управленския процес – от разработването на политики и стратегии до ежедневното планиране и предоставяне 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услуги. Това се потвърждава от:</w:t>
            </w:r>
          </w:p>
          <w:p w14:paraId="716461E6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Във визията и целите на Плана за интегрирано развитие на община Тетевен (ПИРО 2021–2027) устойчивото развитие е изведено като основен принцип. Документът е приет с решение на ОбС, което показва политически ангажимент и </w:t>
            </w:r>
            <w:r>
              <w:rPr>
                <w:rFonts w:ascii="Times New Roman" w:eastAsia="Calibri" w:hAnsi="Times New Roman" w:cs="Times New Roman"/>
                <w:lang w:val="bg-BG"/>
              </w:rPr>
              <w:t>консенсус по темата.</w:t>
            </w:r>
          </w:p>
          <w:p w14:paraId="330C991C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Кметът и екипът му публично отстояват ангажимента си към устойчивото развитие, включително чрез участия в национални форуми, местни политики за опазване на околната среда, младежки инициативи и културна устойчивост. Това се отразява в публичните отчети, програмата за управление и изказвания в медиите.</w:t>
            </w:r>
          </w:p>
          <w:p w14:paraId="055A9806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Устойчивостта е интегрирана хоризонтално във всички секторни политики – инфраструктура, образование, социални услуги,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екология, туризъм. Всеки отдел на администрацията работи по конкретни цели, произтичащи от дългосрочните приоритети на общината.</w:t>
            </w:r>
          </w:p>
          <w:p w14:paraId="7F86D147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Примери за практически действия с дългосрочна устойчивост включват:</w:t>
            </w:r>
          </w:p>
          <w:p w14:paraId="72178C59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мерки за енергийна ефективност на публични сгради</w:t>
            </w:r>
          </w:p>
          <w:p w14:paraId="0C702068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устойчиво управление на водите и отпадъците</w:t>
            </w:r>
          </w:p>
          <w:p w14:paraId="4497E2D0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инвестиции в културно и природно наследство</w:t>
            </w:r>
          </w:p>
          <w:p w14:paraId="11E525C6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насърчаване на гражданското участие чрез дигитални канали</w:t>
            </w:r>
          </w:p>
          <w:p w14:paraId="1EE6D919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При вземането на решения се използват индикатори за устойчивост, а оценката на въздействието на политиките включва и екологични, социални и икономически аспекти.</w:t>
            </w:r>
          </w:p>
          <w:p w14:paraId="19236874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E6AF1D8" w14:textId="77777777" w:rsidR="007D3B5F" w:rsidRPr="008573D0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Това демонстрира, че устойчивото развитие не е просто политическо послание, а реална управленска практика, интегрирана във всички нива на управление в община Тетевен.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67CCE526" w14:textId="195DE275" w:rsidR="007D3B5F" w:rsidRPr="006E5A43" w:rsidRDefault="001D2773" w:rsidP="001D2773">
            <w:pPr>
              <w:tabs>
                <w:tab w:val="left" w:pos="4678"/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0AF4D114" w14:textId="77777777" w:rsidTr="007D3B5F">
        <w:tc>
          <w:tcPr>
            <w:tcW w:w="8931" w:type="dxa"/>
            <w:shd w:val="clear" w:color="auto" w:fill="FFFFFF" w:themeFill="background1"/>
            <w:vAlign w:val="center"/>
          </w:tcPr>
          <w:p w14:paraId="571D966F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2520F452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предприема целенасочени действия за институционализиране на устойчивото развитие, като му отделя специални ресурси и ясно разпределя отговорности в различни сфери на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дейност.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Това се потвърждава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чрез следните ключови елементи:</w:t>
            </w:r>
          </w:p>
          <w:p w14:paraId="7C49B904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рамките на разработването и изпълнението на Плана за интегрирано развитие на община Тетевен (ПИРО), общината е създала многофункционални работни групи, включващи:</w:t>
            </w:r>
          </w:p>
          <w:p w14:paraId="334BB661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представители на общинската администрация</w:t>
            </w:r>
          </w:p>
          <w:p w14:paraId="7AA07EAD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експерти от външни организации</w:t>
            </w:r>
          </w:p>
          <w:p w14:paraId="7A28B213" w14:textId="77777777" w:rsidR="007D3B5F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представители на бизнеса, неправит</w:t>
            </w:r>
            <w:r>
              <w:rPr>
                <w:rFonts w:ascii="Times New Roman" w:eastAsia="Calibri" w:hAnsi="Times New Roman" w:cs="Times New Roman"/>
                <w:lang w:val="bg-BG"/>
              </w:rPr>
              <w:t>елствени организации и граждани</w:t>
            </w:r>
          </w:p>
          <w:p w14:paraId="06446D3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Тези работни групи имат консултативна и мониторингова функция, като подпомагат идентифицирането на приоритети, оценката на проекти и насочването на ресурси по устойчив начин.</w:t>
            </w:r>
          </w:p>
          <w:p w14:paraId="0A1F1A52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На институционално ниво, отговорността за интеграцията на устойчивото развитие е разпределена между конкретни отдели, като всеки има задължения, свързани с:</w:t>
            </w:r>
          </w:p>
          <w:p w14:paraId="664183DE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екологично планиране</w:t>
            </w:r>
          </w:p>
          <w:p w14:paraId="7A6CD1C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социална устойчивост</w:t>
            </w:r>
          </w:p>
          <w:p w14:paraId="3BB9DD33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икономическо развитие</w:t>
            </w:r>
          </w:p>
          <w:p w14:paraId="6467AFB0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публична информираност и участие</w:t>
            </w:r>
          </w:p>
          <w:p w14:paraId="78CBDBA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FB7C63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бюджетната рамка и годишната инвестиционна програма се отделят ресурси за проекти с дългосрочен устойчив ефект, включително по Оперативни програми, ПУДООС и ПРСР.</w:t>
            </w:r>
          </w:p>
          <w:p w14:paraId="083C9071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-В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 някои случаи се прилагат и механизми за обществено участие, чрез които заинтересованите страни могат да дават предложения и да участват във вземането на решения – напр. в сферата на околната среда, благоустройство и културно наследство.</w:t>
            </w:r>
          </w:p>
          <w:p w14:paraId="167DEBB6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Допълнително, общината използва индикатори за устойчивост и оценка на въздействието, които се наблюдават в рамките на изпълнение на стратегически документи.</w:t>
            </w:r>
          </w:p>
          <w:p w14:paraId="77C8627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D76FFD1" w14:textId="77777777" w:rsidR="007D3B5F" w:rsidRPr="008573D0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Тези структурни и ресурсни механизми ясно показват, че устойчивото развитие не е периферна политика, а интегрирана управленска отговорност, подкрепена с реални средства и институционална воля.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3940EDF0" w14:textId="4A5531CC" w:rsidR="007D3B5F" w:rsidRPr="006E5A43" w:rsidRDefault="001D2773" w:rsidP="001D2773">
            <w:pPr>
              <w:tabs>
                <w:tab w:val="left" w:pos="4678"/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4C9925BD" w14:textId="77777777" w:rsidTr="007D3B5F">
        <w:tc>
          <w:tcPr>
            <w:tcW w:w="8931" w:type="dxa"/>
            <w:shd w:val="clear" w:color="auto" w:fill="FFFFFF" w:themeFill="background1"/>
            <w:vAlign w:val="center"/>
          </w:tcPr>
          <w:p w14:paraId="6D05AB47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0D88B9C8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е внедрила механизми в основните си управленски и контролни процеси, чрез които се осигурява обратна връзка и проследимост на резултатите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във връзка с устойчивостта на политиките и дейностите. Това е в пълно съответствие с добрите практики, заложени в рамките на Европейския етикет за иновации и добро управление.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14BF237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рамките на изпълнението на Плана за интегрирано развитие на общината (ПИРО 2021–2027 г.), се прилага система за мониторинг и междинна оценка, която проследява напредъка по приоритетите, включително чрез индикатори за социална, икономическа и екологична устойчивост.</w:t>
            </w:r>
          </w:p>
          <w:p w14:paraId="69980989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годишните доклади за изпълнение на бюджета и инвестиционната програма съдържат информация за изпълнените дейности и ефекта им, вкл. по отношение на устойчивостта. Тези документи се публикуват и разглеждат от Общинския съвет, като създават институционална среда за отчетност и контрол.</w:t>
            </w:r>
          </w:p>
          <w:p w14:paraId="08B2B9A5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Общината провежда вътрешен и външен одит на проекти и дейности, финансирани по европейски и национални програми, като в одитните доклади се съдържат изводи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и препоръки относно ефективността и устойчивостта на резултатите.</w:t>
            </w:r>
          </w:p>
          <w:p w14:paraId="4B889F7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Провеждат се и анализи на удовлетвореността на гражданите, както и тематични оценки, които отчитат устойчивите аспекти на административното обслужване, цифровизацията, опазването на околната среда и социалното включване.</w:t>
            </w:r>
          </w:p>
          <w:p w14:paraId="535B9996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На база на получената обратна връзка и данни от изпълнението, се предвиждат мерки за корекции и подобрения, което свидетелства за цикличен, адаптивен подход в управлението.</w:t>
            </w:r>
          </w:p>
          <w:p w14:paraId="7C1FF025" w14:textId="77777777" w:rsidR="007D3B5F" w:rsidRPr="008573D0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Следователно, може категорично да се потвърди, че в община Тетевен устойчивостта е обвързана с конкретни управленски, отчетни и контролни процеси, които генерират реална информация за ефективността на политиките и създават предпоставки за информирано вземане на решения.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704CC7C8" w14:textId="3A9C4E76" w:rsidR="007D3B5F" w:rsidRPr="006E5A43" w:rsidRDefault="001D2773" w:rsidP="001D2773">
            <w:pPr>
              <w:tabs>
                <w:tab w:val="left" w:pos="4678"/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63D8D86E" w14:textId="77777777" w:rsidTr="007D3B5F">
        <w:tc>
          <w:tcPr>
            <w:tcW w:w="15316" w:type="dxa"/>
            <w:gridSpan w:val="3"/>
            <w:shd w:val="clear" w:color="auto" w:fill="FBE4D5" w:themeFill="accent2" w:themeFillTint="33"/>
            <w:vAlign w:val="center"/>
          </w:tcPr>
          <w:p w14:paraId="2A4994A9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7D3B5F" w:rsidRPr="006E5A43" w14:paraId="42009280" w14:textId="77777777" w:rsidTr="007D3B5F">
        <w:tc>
          <w:tcPr>
            <w:tcW w:w="8931" w:type="dxa"/>
            <w:shd w:val="clear" w:color="auto" w:fill="auto"/>
            <w:vAlign w:val="center"/>
          </w:tcPr>
          <w:p w14:paraId="10F3E747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77FC572C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инклузивен подход към устойчивото развитие, в който е гарантирано широко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обществено участие при формирането и реализирането на политики и решения, особено в стратегически важните области.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 чрез конкретни действия и механизми:</w:t>
            </w:r>
          </w:p>
          <w:p w14:paraId="26A91EA9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процеса на разработване на Плана за интегрирано развитие на община Тетевен (ПИРО 2021–2027 г.) са проведени:</w:t>
            </w:r>
          </w:p>
          <w:p w14:paraId="4109ED9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обществено обсъждане с граждани, организации, бизнес</w:t>
            </w:r>
          </w:p>
          <w:p w14:paraId="34EDB764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онлайн анкети и консултации, публикувани на сайта на общината</w:t>
            </w:r>
          </w:p>
          <w:p w14:paraId="1EA14DD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срещи с представители на специфични групи, включително младежи, пенсионери,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земеделски производители и др.</w:t>
            </w:r>
          </w:p>
          <w:p w14:paraId="2D3535FC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Провеждат се редовни обществени обсъждания на бюджета и инвестиционната програма, като специално внимание се обръща на проекти, свързани с енергийна ефективност, зелени площи, културно наследство и инфраструктура с дългосрочно въздействие.</w:t>
            </w:r>
          </w:p>
          <w:p w14:paraId="6D64D372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Общината поддържа платформа за публично участие и прозрачност, вкл. чрез:</w:t>
            </w:r>
          </w:p>
          <w:p w14:paraId="5010A085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секция „Обществени обсъждания“ на официалния сайт</w:t>
            </w:r>
          </w:p>
          <w:p w14:paraId="28EADB92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– публикации на дневен ред, проекти на нормативни актове и възможност за писмени становища</w:t>
            </w:r>
          </w:p>
          <w:p w14:paraId="54F62DEE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Заинтересованите страни участват в тематични работни групи, свързани със стратегии по околна среда, туризъм, образование, социални услуги, където имат възможност да формулират предложения и приоритети.</w:t>
            </w:r>
          </w:p>
          <w:p w14:paraId="034CDEA7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рамките на участието на община Тетевен в инициативата за Европейски етикет за добро управление, процесът на самооценка и планиране включваше и външна консултация с местната общност, което допълнително потвърждава практиката на активно участие.</w:t>
            </w:r>
          </w:p>
          <w:p w14:paraId="37066251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AF6995E" w14:textId="77777777" w:rsidR="007D3B5F" w:rsidRPr="008573D0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Този цялостен подход показва, че в община Тетевен обществото е не просто консултирано, а реално включено в процеса на вземане на решения, свързани с устойчивото развитие. Това гарантира по-голяма легитимност, ефективност и дългосрочна устойчивост на реализираните политики.</w:t>
            </w: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316670C2" w14:textId="19CCF6C8" w:rsidR="007D3B5F" w:rsidRPr="006E5A43" w:rsidRDefault="001D2773" w:rsidP="001D2773">
            <w:pPr>
              <w:tabs>
                <w:tab w:val="left" w:pos="4678"/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58268E1B" w14:textId="77777777" w:rsidTr="007D3B5F">
        <w:tc>
          <w:tcPr>
            <w:tcW w:w="8931" w:type="dxa"/>
            <w:shd w:val="clear" w:color="auto" w:fill="auto"/>
            <w:vAlign w:val="center"/>
          </w:tcPr>
          <w:p w14:paraId="2B01120A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631DE5CB" w14:textId="77777777" w:rsidR="007D3B5F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 xml:space="preserve">Община Тетевен изпълнява структуриран и реалистичен инвестиционен финансов план, който 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lastRenderedPageBreak/>
              <w:t>цели гарантиране на дългосрочната жизнеспособност на общи</w:t>
            </w:r>
            <w:r>
              <w:rPr>
                <w:rFonts w:eastAsia="Calibri"/>
                <w:sz w:val="22"/>
                <w:szCs w:val="22"/>
                <w:lang w:val="bg-BG"/>
              </w:rPr>
              <w:t>нската инфраструктура и активи. Т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t>ози процес е институционализиран,</w:t>
            </w:r>
            <w:r>
              <w:rPr>
                <w:rFonts w:eastAsia="Calibri"/>
                <w:sz w:val="22"/>
                <w:szCs w:val="22"/>
                <w:lang w:val="bg-BG"/>
              </w:rPr>
              <w:t xml:space="preserve"> устойчив и финансово обезпечен чрез:</w:t>
            </w:r>
          </w:p>
          <w:p w14:paraId="0D0586A0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t>Общината ежегодно приема Програма за капиталови разходи, като част от бюджета, която съдържа:</w:t>
            </w:r>
          </w:p>
          <w:p w14:paraId="280A4E7D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обосновани приоритети за инвестиции</w:t>
            </w:r>
          </w:p>
          <w:p w14:paraId="2E71EB40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конкретни обекти, срокове и стойности</w:t>
            </w:r>
          </w:p>
          <w:p w14:paraId="635AC7EC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източници на финансиране (общински, държавни, европейски)</w:t>
            </w:r>
          </w:p>
          <w:p w14:paraId="2CB48220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t>Програмата се основава на многогодишна бюджетна прогноза (напр. за периода 2024–2027 г.), чрез която се осигурява финансова устойчивост и балансираност между текущи разходи и дългосрочни инвестиции.</w:t>
            </w:r>
          </w:p>
          <w:p w14:paraId="23F0D3DA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t>В рамките на приоритетите от Плана за интегрирано развитие на общината (ПИРО 2021–2027), инвестиционните дейности са насочени към:</w:t>
            </w:r>
          </w:p>
          <w:p w14:paraId="68FC1DF2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обновяване и поддържане на транспортна и социална инфраструктура</w:t>
            </w:r>
          </w:p>
          <w:p w14:paraId="2B15BF42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енергийна ефективност на сгради</w:t>
            </w:r>
          </w:p>
          <w:p w14:paraId="7C57017E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подобряване на ВиК и екологична инфраструктура</w:t>
            </w:r>
          </w:p>
          <w:p w14:paraId="30E139A8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развитие на туристически обекти с дългосрочна стойност</w:t>
            </w:r>
          </w:p>
          <w:p w14:paraId="4B6DB7AD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lastRenderedPageBreak/>
              <w:t>-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t>Общината прилага принципите на устойчиво финансово планиране, включително:</w:t>
            </w:r>
          </w:p>
          <w:p w14:paraId="4B2C32ED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предварителна оценка на икономическата ефективност</w:t>
            </w:r>
          </w:p>
          <w:p w14:paraId="79AA8815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осигуряване на съфинансиране при проекти по ПРСР, ОПРР и други</w:t>
            </w:r>
          </w:p>
          <w:p w14:paraId="1E33939A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– поддържане на баланс между собствени приходи, трансфери и привлечени средства</w:t>
            </w:r>
          </w:p>
          <w:p w14:paraId="3BB24C18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t>Проследяването на изпълнението се извършва чрез тримесечни и годишни отчети, както и чрез одитни механизми, които дават обективна информация за ефективността и въздействието на инвестициите.</w:t>
            </w:r>
          </w:p>
          <w:p w14:paraId="421E03B2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-</w:t>
            </w:r>
            <w:r w:rsidRPr="00E15082">
              <w:rPr>
                <w:rFonts w:eastAsia="Calibri"/>
                <w:sz w:val="22"/>
                <w:szCs w:val="22"/>
                <w:lang w:val="bg-BG"/>
              </w:rPr>
              <w:t>Допълнително, общината предприема действия за оптимизиране на собствеността и управление на активи, чрез продажба или отдаване под наем на неефективни обекти и инвестиции в поддръжката на стратегически важни активи.</w:t>
            </w:r>
          </w:p>
          <w:p w14:paraId="14808860" w14:textId="77777777" w:rsidR="007D3B5F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</w:p>
          <w:p w14:paraId="21FC9402" w14:textId="77777777" w:rsidR="007D3B5F" w:rsidRPr="00E15082" w:rsidRDefault="007D3B5F" w:rsidP="007D3B5F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bg-BG"/>
              </w:rPr>
            </w:pPr>
            <w:r w:rsidRPr="00E15082">
              <w:rPr>
                <w:rFonts w:eastAsia="Calibri"/>
                <w:sz w:val="22"/>
                <w:szCs w:val="22"/>
                <w:lang w:val="bg-BG"/>
              </w:rPr>
              <w:t>Всичко това потвърждава, че община Тетевен изпълнява инвестиционна политика, насочена към дългосрочна устойчивост, като планира, реализира и управлява проекти в полза на настоящите и бъдещите поколения, в рамките на стабилна финансова рамка.</w:t>
            </w:r>
          </w:p>
          <w:p w14:paraId="71C6CEFD" w14:textId="77777777" w:rsidR="007D3B5F" w:rsidRPr="008573D0" w:rsidRDefault="007D3B5F" w:rsidP="007D3B5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72FFBDF0" w14:textId="6F3D8E26" w:rsidR="007D3B5F" w:rsidRPr="006E5A43" w:rsidRDefault="001D2773" w:rsidP="001D2773">
            <w:pPr>
              <w:tabs>
                <w:tab w:val="left" w:pos="4678"/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141441F1" w14:textId="77777777" w:rsidTr="007D3B5F">
        <w:tc>
          <w:tcPr>
            <w:tcW w:w="15316" w:type="dxa"/>
            <w:gridSpan w:val="3"/>
            <w:shd w:val="clear" w:color="auto" w:fill="FBE4D5" w:themeFill="accent2" w:themeFillTint="33"/>
            <w:vAlign w:val="center"/>
          </w:tcPr>
          <w:p w14:paraId="5A268DA1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7D3B5F" w:rsidRPr="006E5A43" w14:paraId="4175B9F3" w14:textId="77777777" w:rsidTr="007D3B5F">
        <w:tc>
          <w:tcPr>
            <w:tcW w:w="8931" w:type="dxa"/>
            <w:shd w:val="clear" w:color="auto" w:fill="FFFFFF" w:themeFill="background1"/>
            <w:vAlign w:val="center"/>
          </w:tcPr>
          <w:p w14:paraId="683275F7" w14:textId="77777777" w:rsidR="007D3B5F" w:rsidRPr="006E5A43" w:rsidRDefault="007D3B5F" w:rsidP="007D3B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72E48681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структуриран и устойчив подход за опазване на историческите, културните и социалните си ценности, който е интегриран в стратегическите ѝ документи, финансовото планиране и реалните управленски действия.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 по ясен и последователен начин:</w:t>
            </w:r>
          </w:p>
          <w:p w14:paraId="4408F3C8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В Плана за интегрирано развитие на общината (ПИРО 2021–2027) е отделен самостоятелен приоритет, посветен на опазването и развитие на културното наследство и културната инфраструктура. Визията включва „запазване на местната идентичност и стимулиране на културния живот като фактор за устойчиво развитие“.</w:t>
            </w:r>
          </w:p>
          <w:p w14:paraId="267D0F4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Общината поддържа Регистър на недвижимото културно наследство, в който са включени обекти като:</w:t>
            </w:r>
          </w:p>
          <w:p w14:paraId="26C10066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Историческият музей – Тетевен</w:t>
            </w:r>
          </w:p>
          <w:p w14:paraId="55391375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Манастири и църкви (вкл. Гложенският манастир)</w:t>
            </w:r>
          </w:p>
          <w:p w14:paraId="09AC5782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Къщи с възрожденска архитектура</w:t>
            </w:r>
          </w:p>
          <w:p w14:paraId="33A5CE33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>– Етнографски комплекси в селата</w:t>
            </w:r>
          </w:p>
          <w:p w14:paraId="7AE4484D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Общината разработва и изпълнява годишна Програма за развитие на културата, в която се включват събития, фестивали и образователни инициативи за опазване на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нематериалното културно наследство (фолклор, занаятчийство, местни традиции).</w:t>
            </w:r>
          </w:p>
          <w:p w14:paraId="22B6A0A5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Поддържат се общински културни институти, като читалища и музейни обекти, за които се отделят средства в рамките на бюджета и инвестиционната програма. Налице е и партньорство с местни НПО, творчески съюзи и училища.</w:t>
            </w:r>
          </w:p>
          <w:p w14:paraId="533D985B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Осъществяват се и проектни дейности с външно финансиране, насочени към реставрация, адаптация и социализация на културни обекти, напр. чрез програми като ПРСР, „Културно наследство“ или трансгранично сътрудничество.</w:t>
            </w:r>
          </w:p>
          <w:p w14:paraId="7D0AC0A8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t>За социалните ценности общината има стратегии в сферата на образованието, социалните услуги и младежките политики, които допълват подхода към идентичност и общностно развитие.</w:t>
            </w:r>
          </w:p>
          <w:p w14:paraId="208DF8ED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193545F" w14:textId="77777777" w:rsidR="007D3B5F" w:rsidRPr="00E15082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15082">
              <w:rPr>
                <w:rFonts w:ascii="Times New Roman" w:eastAsia="Calibri" w:hAnsi="Times New Roman" w:cs="Times New Roman"/>
                <w:lang w:val="bg-BG"/>
              </w:rPr>
              <w:t xml:space="preserve">Наличието на визия, институционални механизми, конкретни дейности и отчетност по отношение на културното и историческо наследство показва, че в община Тетевен опазването на ценностите не е </w:t>
            </w:r>
            <w:r w:rsidRPr="00E15082">
              <w:rPr>
                <w:rFonts w:ascii="Times New Roman" w:eastAsia="Calibri" w:hAnsi="Times New Roman" w:cs="Times New Roman"/>
                <w:lang w:val="bg-BG"/>
              </w:rPr>
              <w:lastRenderedPageBreak/>
              <w:t>кампанийно, а стратегическо и дългосрочно планирано усилие.</w:t>
            </w:r>
          </w:p>
          <w:p w14:paraId="0C1883CD" w14:textId="77777777" w:rsidR="007D3B5F" w:rsidRPr="008573D0" w:rsidRDefault="007D3B5F" w:rsidP="007D3B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  <w:vAlign w:val="center"/>
          </w:tcPr>
          <w:p w14:paraId="2385074C" w14:textId="6DAE5D1A" w:rsidR="007D3B5F" w:rsidRPr="006E5A43" w:rsidRDefault="001D2773" w:rsidP="001D2773">
            <w:pPr>
              <w:tabs>
                <w:tab w:val="left" w:pos="4678"/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D277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7D3B5F" w:rsidRPr="006E5A43" w14:paraId="701F9152" w14:textId="77777777" w:rsidTr="007D3B5F">
        <w:tc>
          <w:tcPr>
            <w:tcW w:w="8931" w:type="dxa"/>
            <w:shd w:val="clear" w:color="auto" w:fill="E2EFD9" w:themeFill="accent6" w:themeFillTint="33"/>
            <w:vAlign w:val="center"/>
          </w:tcPr>
          <w:p w14:paraId="5C6B7E79" w14:textId="77777777" w:rsidR="007D3B5F" w:rsidRPr="006E5A43" w:rsidRDefault="007D3B5F" w:rsidP="007D3B5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2DFCC5D" w14:textId="77777777" w:rsidR="007D3B5F" w:rsidRPr="006E5A43" w:rsidRDefault="007D3B5F" w:rsidP="007D3B5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7EAFCE8B" w14:textId="77777777" w:rsidR="007D3B5F" w:rsidRPr="006E5A43" w:rsidRDefault="007D3B5F" w:rsidP="007D3B5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  <w:vAlign w:val="center"/>
          </w:tcPr>
          <w:p w14:paraId="3993A4A1" w14:textId="77777777" w:rsidR="007D3B5F" w:rsidRPr="006E5A43" w:rsidRDefault="007D3B5F" w:rsidP="007D3B5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0616F905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C496D" w14:textId="77777777" w:rsidR="007F744A" w:rsidRDefault="007F744A" w:rsidP="00DE6DCB">
      <w:pPr>
        <w:spacing w:after="0" w:line="240" w:lineRule="auto"/>
      </w:pPr>
      <w:r>
        <w:separator/>
      </w:r>
    </w:p>
  </w:endnote>
  <w:endnote w:type="continuationSeparator" w:id="0">
    <w:p w14:paraId="3A1A25FA" w14:textId="77777777" w:rsidR="007F744A" w:rsidRDefault="007F744A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1F8E8" w14:textId="77777777" w:rsidR="007F744A" w:rsidRDefault="007F744A" w:rsidP="00DE6DCB">
      <w:pPr>
        <w:spacing w:after="0" w:line="240" w:lineRule="auto"/>
      </w:pPr>
      <w:r>
        <w:separator/>
      </w:r>
    </w:p>
  </w:footnote>
  <w:footnote w:type="continuationSeparator" w:id="0">
    <w:p w14:paraId="34F0B925" w14:textId="77777777" w:rsidR="007F744A" w:rsidRDefault="007F744A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4CB1B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1D2773"/>
    <w:rsid w:val="00246FD8"/>
    <w:rsid w:val="002535CC"/>
    <w:rsid w:val="002825D5"/>
    <w:rsid w:val="003B4B45"/>
    <w:rsid w:val="003C6DED"/>
    <w:rsid w:val="00670F8A"/>
    <w:rsid w:val="006B4D78"/>
    <w:rsid w:val="006E5A43"/>
    <w:rsid w:val="007D3B5F"/>
    <w:rsid w:val="007F744A"/>
    <w:rsid w:val="007F78C2"/>
    <w:rsid w:val="008028A5"/>
    <w:rsid w:val="00803A49"/>
    <w:rsid w:val="00A829CA"/>
    <w:rsid w:val="00B37EF5"/>
    <w:rsid w:val="00BA7B65"/>
    <w:rsid w:val="00BC359C"/>
    <w:rsid w:val="00BF1C06"/>
    <w:rsid w:val="00C15AC1"/>
    <w:rsid w:val="00CC2247"/>
    <w:rsid w:val="00DE6DCB"/>
    <w:rsid w:val="00EB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A6AE5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  <w:style w:type="paragraph" w:styleId="NormalWeb">
    <w:name w:val="Normal (Web)"/>
    <w:basedOn w:val="Normal"/>
    <w:uiPriority w:val="99"/>
    <w:semiHidden/>
    <w:unhideWhenUsed/>
    <w:rsid w:val="007D3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13</cp:revision>
  <dcterms:created xsi:type="dcterms:W3CDTF">2022-07-05T11:09:00Z</dcterms:created>
  <dcterms:modified xsi:type="dcterms:W3CDTF">2025-06-19T06:30:00Z</dcterms:modified>
</cp:coreProperties>
</file>